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DEPUTY PROJECT MEDICAL REFERENT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and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Supporting the Project Medical Referent through delegated tasks and responsibilities including defining, planning, and monitoring of medical activities and in the coordination of resources required to en-sure quality of care provided by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Support the PMR in the overall functioning of the medical programs in the project through delegated tasks and fully assuming the PMR
responsibilities and accountabilities in case of absence.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and evaluate medical programs and regularly suggest improvements if needed.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 the project sites regularly in consultation with PMR to support health teams and to ensure compliance with MSF protocols and guidelines.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 in exploratory missions and situation assessments to identify healthcare needs when required.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annual planning process, budget review, project proposal and reports to donors.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ensuring that the HR requirements (recruitment, training, evaluation, leave management, etc.) are met for the medical team in the project.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Representation of MSF with MoH and other health partners as delegated by the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in the collection, analysis and reporting of health data in the projects.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PMR in pharmacy management and in the international medical order management.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Substitute doctors, nurses and paramedical staff if necessary.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correct implementation of staff health policies at project level.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Perform any other relevant tasks assigned by his/her supervisors as necessary.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Medical doctor or nursing or paramedical degree. Desirable specialization or training in Tropical Medicine or related studies.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Minimum 2 years of work experience related to the degree/diploma.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Diverse and strong health knowledge including at least 1 year working in humanitarian settings with MSF (or another humanitarian organization) in the field.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Essential mission language, an additional language or local language desirable.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Connaissance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Essential computer literacy (word, excel and internet)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Compétences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People Management and Development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Commitment to MSF Principles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Behavioural Flexibility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Results and Quality Orientation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Teamwork and Cooperation L3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